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报价单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186"/>
        <w:gridCol w:w="3655"/>
        <w:gridCol w:w="1568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 号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项  目</w:t>
            </w:r>
          </w:p>
        </w:tc>
        <w:tc>
          <w:tcPr>
            <w:tcW w:w="36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科  目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报  价（元）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4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专项项目</w:t>
            </w: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1.对现有生产安全事故应急预案进行修订（2024年进行内部修订〔公司本部〕，2025年全面修订〔公司本部、绕城高速管理所、加油站、事兴检测公司、瑞天房产分公司〕、进行专家评审备案）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公司本部、绕城高速管理所、加油站、事兴检测公司、瑞天房产分公司分别进行报价。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2.对现有安全生产清单制进行内部修订（公司本部）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3.安全生产风险分级管控和隐患排查治理双重机制建设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小计</w:t>
            </w:r>
          </w:p>
        </w:tc>
        <w:tc>
          <w:tcPr>
            <w:tcW w:w="6702" w:type="dxa"/>
            <w:gridSpan w:val="3"/>
            <w:vAlign w:val="center"/>
          </w:tcPr>
          <w:p>
            <w:pPr>
              <w:ind w:firstLine="3780" w:firstLineChars="18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4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安全管家服务</w:t>
            </w: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1.安全管理制度体系建设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2.定期开展安全检查隐患排查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3.定期开展安全生产教育培训</w:t>
            </w:r>
          </w:p>
        </w:tc>
        <w:tc>
          <w:tcPr>
            <w:tcW w:w="1568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每年两次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4.开展安全应急演练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每年一次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5..危险源辨识与风险评估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每年一次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4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655" w:type="dxa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6建立事件响应机制</w:t>
            </w:r>
          </w:p>
        </w:tc>
        <w:tc>
          <w:tcPr>
            <w:tcW w:w="156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小计</w:t>
            </w:r>
          </w:p>
        </w:tc>
        <w:tc>
          <w:tcPr>
            <w:tcW w:w="6702" w:type="dxa"/>
            <w:gridSpan w:val="3"/>
            <w:vAlign w:val="center"/>
          </w:tcPr>
          <w:p>
            <w:pPr>
              <w:ind w:firstLine="3780" w:firstLineChars="18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6702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元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C7813B-AB7F-4E3B-AB5A-666FD108FB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D56C43F-1701-432C-829B-D55AD3725FD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1A72A1F-7425-4C43-8FB6-BB043CF347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12343E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2024-04-08T09:11:10Z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2FAB178A22B44B0499CA7FD4B3A73082</vt:lpwstr>
  </property>
</Properties>
</file>